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C3A7" w14:textId="77777777" w:rsidR="00DA4540" w:rsidRDefault="00DA4540" w:rsidP="00DA4540">
      <w:pPr>
        <w:spacing w:line="259" w:lineRule="auto"/>
        <w:contextualSpacing/>
        <w:rPr>
          <w:rFonts w:ascii="Cambria" w:hAnsi="Cambria"/>
          <w:b/>
          <w:bCs/>
        </w:rPr>
      </w:pPr>
    </w:p>
    <w:p w14:paraId="6739CC43" w14:textId="77777777" w:rsidR="00DA4540" w:rsidRDefault="00DA4540" w:rsidP="00DA4540">
      <w:pPr>
        <w:spacing w:line="259" w:lineRule="auto"/>
        <w:contextualSpacing/>
      </w:pPr>
      <w:r w:rsidRPr="0013798C">
        <w:rPr>
          <w:rFonts w:ascii="Cambria" w:hAnsi="Cambria"/>
          <w:b/>
          <w:noProof/>
          <w:sz w:val="26"/>
          <w:szCs w:val="26"/>
        </w:rPr>
        <w:drawing>
          <wp:anchor distT="0" distB="0" distL="114300" distR="114300" simplePos="0" relativeHeight="251660288" behindDoc="0" locked="0" layoutInCell="1" allowOverlap="1" wp14:anchorId="0F0BD785" wp14:editId="5457BAD8">
            <wp:simplePos x="0" y="0"/>
            <wp:positionH relativeFrom="margin">
              <wp:align>center</wp:align>
            </wp:positionH>
            <wp:positionV relativeFrom="paragraph">
              <wp:posOffset>635</wp:posOffset>
            </wp:positionV>
            <wp:extent cx="1085850" cy="1253103"/>
            <wp:effectExtent l="0" t="0" r="0" b="4445"/>
            <wp:wrapSquare wrapText="bothSides"/>
            <wp:docPr id="16" name="Picture 16" descr="D:\American University in Dohuk Kurdistan\AUDK, Logo and Banners\AUK Logo\AUK-logo, 28-0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erican University in Dohuk Kurdistan\AUDK, Logo and Banners\AUK Logo\AUK-logo, 28-01-2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253103"/>
                    </a:xfrm>
                    <a:prstGeom prst="rect">
                      <a:avLst/>
                    </a:prstGeom>
                    <a:noFill/>
                    <a:ln>
                      <a:noFill/>
                    </a:ln>
                  </pic:spPr>
                </pic:pic>
              </a:graphicData>
            </a:graphic>
          </wp:anchor>
        </w:drawing>
      </w:r>
    </w:p>
    <w:p w14:paraId="2F5E0414" w14:textId="77777777" w:rsidR="00DA4540" w:rsidRDefault="00DA4540" w:rsidP="00DA4540">
      <w:r>
        <w:br w:type="textWrapping" w:clear="all"/>
      </w:r>
    </w:p>
    <w:p w14:paraId="44CF2FA8" w14:textId="77777777" w:rsidR="00DA4540" w:rsidRPr="002B2DC2" w:rsidRDefault="00DA4540" w:rsidP="00DA4540">
      <w:pPr>
        <w:spacing w:after="0"/>
        <w:ind w:left="1296" w:right="1440"/>
        <w:jc w:val="center"/>
        <w:rPr>
          <w:rFonts w:ascii="Cambria" w:eastAsia="SimSun" w:hAnsi="Cambria"/>
          <w:b/>
          <w:bCs/>
        </w:rPr>
      </w:pPr>
      <w:r w:rsidRPr="002B2DC2">
        <w:rPr>
          <w:rFonts w:ascii="Cambria" w:eastAsia="SimSun" w:hAnsi="Cambria"/>
          <w:b/>
          <w:bCs/>
        </w:rPr>
        <w:t>The American University of Kurdistan</w:t>
      </w:r>
    </w:p>
    <w:p w14:paraId="5B64294E" w14:textId="77777777" w:rsidR="00DA4540" w:rsidRPr="00D823BF" w:rsidRDefault="00DA4540" w:rsidP="00DA4540">
      <w:pPr>
        <w:spacing w:after="0"/>
        <w:ind w:left="1296" w:right="1440"/>
        <w:jc w:val="center"/>
        <w:rPr>
          <w:rFonts w:ascii="Cambria" w:eastAsia="SimSun" w:hAnsi="Cambria"/>
          <w:b/>
          <w:bCs/>
        </w:rPr>
      </w:pPr>
      <w:r w:rsidRPr="002B2DC2">
        <w:rPr>
          <w:rFonts w:ascii="Cambria" w:eastAsia="SimSun" w:hAnsi="Cambria"/>
          <w:b/>
          <w:bCs/>
        </w:rPr>
        <w:t>Policy of</w:t>
      </w:r>
      <w:r>
        <w:rPr>
          <w:rFonts w:ascii="Cambria" w:eastAsia="SimSun" w:hAnsi="Cambria"/>
          <w:b/>
          <w:bCs/>
        </w:rPr>
        <w:t xml:space="preserve"> Admission for Master’s Degrees</w:t>
      </w:r>
    </w:p>
    <w:p w14:paraId="2C91770B" w14:textId="77777777" w:rsidR="00DA4540" w:rsidRPr="00DB6A03" w:rsidRDefault="00DA4540" w:rsidP="00DA4540">
      <w:pPr>
        <w:spacing w:after="0"/>
        <w:ind w:left="720" w:right="1440"/>
        <w:rPr>
          <w:rFonts w:ascii="Cambria" w:eastAsia="SimSun" w:hAnsi="Cambria"/>
          <w:b/>
          <w:bCs/>
        </w:rPr>
      </w:pPr>
      <w:r w:rsidRPr="00E25614">
        <w:rPr>
          <w:rFonts w:ascii="Cambria" w:hAnsi="Cambria"/>
          <w:noProof/>
        </w:rPr>
        <mc:AlternateContent>
          <mc:Choice Requires="wps">
            <w:drawing>
              <wp:anchor distT="45720" distB="45720" distL="114300" distR="114300" simplePos="0" relativeHeight="251659264" behindDoc="0" locked="0" layoutInCell="1" hidden="0" allowOverlap="1" wp14:anchorId="44A7CCC8" wp14:editId="4F6414C9">
                <wp:simplePos x="0" y="0"/>
                <wp:positionH relativeFrom="column">
                  <wp:posOffset>3672840</wp:posOffset>
                </wp:positionH>
                <wp:positionV relativeFrom="paragraph">
                  <wp:posOffset>182880</wp:posOffset>
                </wp:positionV>
                <wp:extent cx="2436495" cy="638175"/>
                <wp:effectExtent l="0" t="0" r="1905" b="9525"/>
                <wp:wrapSquare wrapText="bothSides" distT="45720" distB="45720" distL="114300" distR="114300"/>
                <wp:docPr id="15" name="Rectangle 15"/>
                <wp:cNvGraphicFramePr/>
                <a:graphic xmlns:a="http://schemas.openxmlformats.org/drawingml/2006/main">
                  <a:graphicData uri="http://schemas.microsoft.com/office/word/2010/wordprocessingShape">
                    <wps:wsp>
                      <wps:cNvSpPr/>
                      <wps:spPr>
                        <a:xfrm>
                          <a:off x="0" y="0"/>
                          <a:ext cx="2436495" cy="638175"/>
                        </a:xfrm>
                        <a:prstGeom prst="rect">
                          <a:avLst/>
                        </a:prstGeom>
                        <a:solidFill>
                          <a:srgbClr val="FFFFFF"/>
                        </a:solidFill>
                        <a:ln>
                          <a:noFill/>
                        </a:ln>
                      </wps:spPr>
                      <wps:txbx>
                        <w:txbxContent>
                          <w:p w14:paraId="626CC3FF" w14:textId="1D783177" w:rsidR="00DA4540" w:rsidRDefault="00DA4540" w:rsidP="00DA4540">
                            <w:pPr>
                              <w:spacing w:after="0" w:line="258" w:lineRule="auto"/>
                              <w:textDirection w:val="btLr"/>
                            </w:pPr>
                            <w:r>
                              <w:rPr>
                                <w:rFonts w:ascii="Cambria" w:eastAsia="Cambria" w:hAnsi="Cambria" w:cs="Cambria"/>
                                <w:color w:val="000000"/>
                              </w:rPr>
                              <w:t xml:space="preserve">Policy Number:  </w:t>
                            </w:r>
                            <w:r w:rsidR="00936B51">
                              <w:rPr>
                                <w:rFonts w:ascii="Cambria" w:eastAsia="Cambria" w:hAnsi="Cambria" w:cs="Cambria"/>
                                <w:color w:val="000000"/>
                                <w:u w:val="single"/>
                              </w:rPr>
                              <w:t>AS046</w:t>
                            </w:r>
                          </w:p>
                          <w:p w14:paraId="01A7FA5D" w14:textId="5113599B" w:rsidR="00DA4540" w:rsidRDefault="00DA4540" w:rsidP="00DA4540">
                            <w:pPr>
                              <w:spacing w:after="0" w:line="258" w:lineRule="auto"/>
                              <w:textDirection w:val="btLr"/>
                            </w:pPr>
                            <w:r>
                              <w:rPr>
                                <w:rFonts w:ascii="Cambria" w:eastAsia="Cambria" w:hAnsi="Cambria" w:cs="Cambria"/>
                                <w:color w:val="000000"/>
                              </w:rPr>
                              <w:t xml:space="preserve">Effective Date: </w:t>
                            </w:r>
                            <w:r w:rsidR="00936B51">
                              <w:rPr>
                                <w:rFonts w:ascii="Cambria" w:eastAsia="Cambria" w:hAnsi="Cambria" w:cs="Cambria"/>
                                <w:color w:val="000000"/>
                              </w:rPr>
                              <w:t>December 3, 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A7CCC8" id="Rectangle 15" o:spid="_x0000_s1026" style="position:absolute;left:0;text-align:left;margin-left:289.2pt;margin-top:14.4pt;width:191.85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" stroked="f">
                <v:textbox inset="2.53958mm,1.2694mm,2.53958mm,1.2694mm">
                  <w:txbxContent>
                    <w:p w14:paraId="626CC3FF" w14:textId="1D783177" w:rsidR="00DA4540" w:rsidRDefault="00DA4540" w:rsidP="00DA4540">
                      <w:pPr>
                        <w:spacing w:after="0" w:line="258" w:lineRule="auto"/>
                        <w:textDirection w:val="btLr"/>
                      </w:pPr>
                      <w:r>
                        <w:rPr>
                          <w:rFonts w:ascii="Cambria" w:eastAsia="Cambria" w:hAnsi="Cambria" w:cs="Cambria"/>
                          <w:color w:val="000000"/>
                        </w:rPr>
                        <w:t xml:space="preserve">Policy Number:  </w:t>
                      </w:r>
                      <w:r w:rsidR="00936B51">
                        <w:rPr>
                          <w:rFonts w:ascii="Cambria" w:eastAsia="Cambria" w:hAnsi="Cambria" w:cs="Cambria"/>
                          <w:color w:val="000000"/>
                          <w:u w:val="single"/>
                        </w:rPr>
                        <w:t>AS046</w:t>
                      </w:r>
                    </w:p>
                    <w:p w14:paraId="01A7FA5D" w14:textId="5113599B" w:rsidR="00DA4540" w:rsidRDefault="00DA4540" w:rsidP="00DA4540">
                      <w:pPr>
                        <w:spacing w:after="0" w:line="258" w:lineRule="auto"/>
                        <w:textDirection w:val="btLr"/>
                      </w:pPr>
                      <w:r>
                        <w:rPr>
                          <w:rFonts w:ascii="Cambria" w:eastAsia="Cambria" w:hAnsi="Cambria" w:cs="Cambria"/>
                          <w:color w:val="000000"/>
                        </w:rPr>
                        <w:t xml:space="preserve">Effective Date: </w:t>
                      </w:r>
                      <w:r w:rsidR="00936B51">
                        <w:rPr>
                          <w:rFonts w:ascii="Cambria" w:eastAsia="Cambria" w:hAnsi="Cambria" w:cs="Cambria"/>
                          <w:color w:val="000000"/>
                        </w:rPr>
                        <w:t>December 3, 2024</w:t>
                      </w:r>
                    </w:p>
                  </w:txbxContent>
                </v:textbox>
                <w10:wrap type="square"/>
              </v:rect>
            </w:pict>
          </mc:Fallback>
        </mc:AlternateContent>
      </w:r>
    </w:p>
    <w:p w14:paraId="6390B570" w14:textId="77777777" w:rsidR="00DA4540" w:rsidRDefault="00DA4540" w:rsidP="00DA4540">
      <w:pPr>
        <w:spacing w:after="0"/>
        <w:ind w:left="1008" w:right="1440"/>
        <w:rPr>
          <w:rFonts w:ascii="Cambria" w:hAnsi="Cambria"/>
          <w:b/>
        </w:rPr>
      </w:pPr>
    </w:p>
    <w:p w14:paraId="418D7EBA" w14:textId="77777777" w:rsidR="00DA4540" w:rsidRDefault="00DA4540" w:rsidP="00DA4540">
      <w:pPr>
        <w:spacing w:after="0"/>
        <w:ind w:left="1008" w:right="1440"/>
        <w:rPr>
          <w:rFonts w:ascii="Cambria" w:hAnsi="Cambria"/>
          <w:b/>
        </w:rPr>
      </w:pPr>
    </w:p>
    <w:p w14:paraId="6C4374C4" w14:textId="77777777" w:rsidR="00DA4540" w:rsidRDefault="00DA4540" w:rsidP="00DA4540">
      <w:pPr>
        <w:spacing w:after="0"/>
        <w:ind w:left="1008" w:right="1440"/>
        <w:rPr>
          <w:rFonts w:ascii="Cambria" w:hAnsi="Cambria"/>
          <w:b/>
        </w:rPr>
      </w:pPr>
    </w:p>
    <w:p w14:paraId="72E3832E" w14:textId="77777777" w:rsidR="00DA4540" w:rsidRPr="002B2DC2" w:rsidRDefault="00DA4540" w:rsidP="00DA4540">
      <w:pPr>
        <w:rPr>
          <w:rFonts w:ascii="Cambria" w:hAnsi="Cambria"/>
          <w:b/>
        </w:rPr>
      </w:pPr>
      <w:r w:rsidRPr="002B2DC2">
        <w:rPr>
          <w:rFonts w:ascii="Cambria" w:hAnsi="Cambria"/>
          <w:b/>
        </w:rPr>
        <w:t>CONTENT</w:t>
      </w:r>
    </w:p>
    <w:p w14:paraId="1D2C5ED8" w14:textId="77777777" w:rsidR="00DA4540" w:rsidRPr="002B2DC2" w:rsidRDefault="00DA4540" w:rsidP="00DA4540">
      <w:pPr>
        <w:numPr>
          <w:ilvl w:val="0"/>
          <w:numId w:val="2"/>
        </w:numPr>
        <w:spacing w:after="0" w:line="259" w:lineRule="auto"/>
        <w:ind w:left="0"/>
        <w:rPr>
          <w:rFonts w:ascii="Cambria" w:eastAsia="SimSun" w:hAnsi="Cambria"/>
        </w:rPr>
      </w:pPr>
      <w:r w:rsidRPr="002B2DC2">
        <w:rPr>
          <w:rFonts w:ascii="Cambria" w:eastAsia="SimSun" w:hAnsi="Cambria"/>
        </w:rPr>
        <w:t>Introduction</w:t>
      </w:r>
    </w:p>
    <w:p w14:paraId="4A3F43EF" w14:textId="77777777" w:rsidR="00DA4540" w:rsidRPr="002855C3" w:rsidRDefault="00DA4540" w:rsidP="00DA4540">
      <w:pPr>
        <w:numPr>
          <w:ilvl w:val="0"/>
          <w:numId w:val="2"/>
        </w:numPr>
        <w:spacing w:after="0" w:line="259" w:lineRule="auto"/>
        <w:ind w:left="0"/>
        <w:rPr>
          <w:rFonts w:ascii="Cambria" w:eastAsia="SimSun" w:hAnsi="Cambria"/>
        </w:rPr>
      </w:pPr>
      <w:r w:rsidRPr="002B2DC2">
        <w:rPr>
          <w:rFonts w:ascii="Cambria" w:eastAsia="SimSun" w:hAnsi="Cambria"/>
        </w:rPr>
        <w:t>Roles and Responsibilities</w:t>
      </w:r>
    </w:p>
    <w:p w14:paraId="781DFBE4" w14:textId="77777777" w:rsidR="00DA4540" w:rsidRPr="002B2DC2" w:rsidRDefault="00DA4540" w:rsidP="00DA4540">
      <w:pPr>
        <w:numPr>
          <w:ilvl w:val="0"/>
          <w:numId w:val="2"/>
        </w:numPr>
        <w:spacing w:after="0" w:line="259" w:lineRule="auto"/>
        <w:ind w:left="0"/>
        <w:rPr>
          <w:rFonts w:ascii="Cambria" w:eastAsia="SimSun" w:hAnsi="Cambria"/>
        </w:rPr>
      </w:pPr>
      <w:r w:rsidRPr="002B2DC2">
        <w:rPr>
          <w:rFonts w:ascii="Cambria" w:eastAsia="SimSun" w:hAnsi="Cambria"/>
        </w:rPr>
        <w:t>Policy Statement</w:t>
      </w:r>
    </w:p>
    <w:p w14:paraId="31555264" w14:textId="77777777" w:rsidR="00DA4540" w:rsidRDefault="00DA4540" w:rsidP="00DA4540">
      <w:pPr>
        <w:numPr>
          <w:ilvl w:val="0"/>
          <w:numId w:val="2"/>
        </w:numPr>
        <w:spacing w:after="0" w:line="259" w:lineRule="auto"/>
        <w:ind w:left="0"/>
        <w:rPr>
          <w:rFonts w:ascii="Cambria" w:eastAsia="SimSun" w:hAnsi="Cambria"/>
        </w:rPr>
      </w:pPr>
      <w:r>
        <w:rPr>
          <w:rFonts w:ascii="Cambria" w:eastAsia="SimSun" w:hAnsi="Cambria"/>
        </w:rPr>
        <w:t>General Enrollment Requirements</w:t>
      </w:r>
    </w:p>
    <w:p w14:paraId="314683D8" w14:textId="77777777" w:rsidR="00DA4540" w:rsidRPr="008A0D3D" w:rsidRDefault="00DA4540" w:rsidP="00DA4540">
      <w:pPr>
        <w:numPr>
          <w:ilvl w:val="0"/>
          <w:numId w:val="2"/>
        </w:numPr>
        <w:spacing w:after="0" w:line="259" w:lineRule="auto"/>
        <w:ind w:left="0"/>
        <w:rPr>
          <w:rFonts w:ascii="Cambria" w:eastAsia="SimSun" w:hAnsi="Cambria"/>
        </w:rPr>
      </w:pPr>
      <w:r>
        <w:rPr>
          <w:rFonts w:ascii="Cambria" w:eastAsia="SimSun" w:hAnsi="Cambria"/>
        </w:rPr>
        <w:t>Transfer Credits</w:t>
      </w:r>
      <w:bookmarkStart w:id="0" w:name="_GoBack"/>
      <w:bookmarkEnd w:id="0"/>
    </w:p>
    <w:p w14:paraId="793CD42D" w14:textId="77777777" w:rsidR="00DA4540" w:rsidRPr="002B2DC2" w:rsidRDefault="00DA4540" w:rsidP="00DA4540">
      <w:pPr>
        <w:numPr>
          <w:ilvl w:val="0"/>
          <w:numId w:val="2"/>
        </w:numPr>
        <w:spacing w:after="0" w:line="259" w:lineRule="auto"/>
        <w:ind w:left="0"/>
        <w:rPr>
          <w:rFonts w:ascii="Cambria" w:eastAsia="SimSun" w:hAnsi="Cambria"/>
        </w:rPr>
      </w:pPr>
      <w:r w:rsidRPr="002B2DC2">
        <w:rPr>
          <w:rFonts w:ascii="Cambria" w:eastAsia="SimSun" w:hAnsi="Cambria"/>
        </w:rPr>
        <w:t>Policy History</w:t>
      </w:r>
    </w:p>
    <w:p w14:paraId="2DA4B2F7" w14:textId="77777777" w:rsidR="00DA4540" w:rsidRPr="002B2DC2" w:rsidRDefault="00DA4540" w:rsidP="00DA4540">
      <w:pPr>
        <w:keepNext/>
        <w:spacing w:after="0"/>
        <w:rPr>
          <w:rFonts w:ascii="Cambria" w:eastAsia="SimSun" w:hAnsi="Cambria"/>
        </w:rPr>
      </w:pPr>
    </w:p>
    <w:p w14:paraId="227287DF" w14:textId="77777777" w:rsidR="00DA4540" w:rsidRPr="00445534" w:rsidRDefault="00DA4540" w:rsidP="00DA4540">
      <w:pPr>
        <w:pStyle w:val="ListParagraph"/>
        <w:keepNext/>
        <w:numPr>
          <w:ilvl w:val="0"/>
          <w:numId w:val="6"/>
        </w:numPr>
        <w:spacing w:line="259" w:lineRule="auto"/>
        <w:ind w:left="0" w:firstLine="0"/>
        <w:contextualSpacing w:val="0"/>
        <w:rPr>
          <w:rFonts w:ascii="Cambria" w:hAnsi="Cambria"/>
          <w:b/>
          <w:bCs/>
        </w:rPr>
      </w:pPr>
      <w:r w:rsidRPr="00CA2894">
        <w:rPr>
          <w:rFonts w:ascii="Cambria" w:hAnsi="Cambria"/>
          <w:b/>
          <w:bCs/>
        </w:rPr>
        <w:t>INTRODUCTION</w:t>
      </w:r>
    </w:p>
    <w:p w14:paraId="1ED33D32" w14:textId="77777777" w:rsidR="00DA4540" w:rsidRPr="00284FD9" w:rsidRDefault="00DA4540" w:rsidP="00436FFA">
      <w:pPr>
        <w:numPr>
          <w:ilvl w:val="0"/>
          <w:numId w:val="3"/>
        </w:numPr>
        <w:spacing w:after="0" w:line="259" w:lineRule="auto"/>
        <w:ind w:left="0" w:right="288"/>
        <w:rPr>
          <w:rFonts w:ascii="Cambria" w:eastAsia="SimSun" w:hAnsi="Cambria"/>
        </w:rPr>
      </w:pPr>
      <w:r w:rsidRPr="002B2DC2">
        <w:rPr>
          <w:rFonts w:ascii="Cambria" w:eastAsia="SimSun" w:hAnsi="Cambria"/>
          <w:b/>
          <w:bCs/>
        </w:rPr>
        <w:t>Authority</w:t>
      </w:r>
      <w:r w:rsidRPr="002B2DC2">
        <w:rPr>
          <w:rFonts w:ascii="Cambria" w:eastAsia="SimSun" w:hAnsi="Cambria"/>
        </w:rPr>
        <w:t xml:space="preserve">: The Board of Trustees (herein referred to as “Board”) at The American University of Kurdistan (herein referred to as “AUK” or “University”) is authorized to establish rules and regulations to govern and operate </w:t>
      </w:r>
      <w:r>
        <w:rPr>
          <w:rFonts w:ascii="Cambria" w:eastAsia="SimSun" w:hAnsi="Cambria"/>
        </w:rPr>
        <w:t>the University and its programs.</w:t>
      </w:r>
    </w:p>
    <w:p w14:paraId="28DF7012" w14:textId="77777777" w:rsidR="00DA4540" w:rsidRPr="00284FD9" w:rsidRDefault="00DA4540" w:rsidP="00436FFA">
      <w:pPr>
        <w:numPr>
          <w:ilvl w:val="0"/>
          <w:numId w:val="3"/>
        </w:numPr>
        <w:spacing w:after="0" w:line="259" w:lineRule="auto"/>
        <w:ind w:left="0" w:right="288"/>
        <w:rPr>
          <w:rFonts w:ascii="Cambria" w:eastAsia="SimSun" w:hAnsi="Cambria"/>
        </w:rPr>
      </w:pPr>
      <w:r w:rsidRPr="002B2DC2">
        <w:rPr>
          <w:rFonts w:ascii="Cambria" w:eastAsia="SimSun" w:hAnsi="Cambria"/>
          <w:b/>
          <w:bCs/>
        </w:rPr>
        <w:t>Purpose</w:t>
      </w:r>
      <w:r w:rsidRPr="002B2DC2">
        <w:rPr>
          <w:rFonts w:ascii="Cambria" w:eastAsia="SimSun" w:hAnsi="Cambria"/>
        </w:rPr>
        <w:t xml:space="preserve">: </w:t>
      </w:r>
      <w:r w:rsidRPr="00C44AD9">
        <w:rPr>
          <w:rFonts w:ascii="Cambria" w:hAnsi="Cambria"/>
        </w:rPr>
        <w:t xml:space="preserve">This policy outlines the criteria for admitting students to </w:t>
      </w:r>
      <w:r>
        <w:rPr>
          <w:rFonts w:ascii="Cambria" w:hAnsi="Cambria"/>
        </w:rPr>
        <w:t>m</w:t>
      </w:r>
      <w:r w:rsidRPr="00C44AD9">
        <w:rPr>
          <w:rFonts w:ascii="Cambria" w:hAnsi="Cambria"/>
        </w:rPr>
        <w:t>aster’s degree programs, ensuring that applicants meet the necessary academic and professional standards</w:t>
      </w:r>
      <w:r>
        <w:rPr>
          <w:rFonts w:ascii="Cambria" w:hAnsi="Cambria"/>
        </w:rPr>
        <w:t>.</w:t>
      </w:r>
    </w:p>
    <w:p w14:paraId="1EDB3244" w14:textId="77777777" w:rsidR="00DA4540" w:rsidRDefault="00DA4540" w:rsidP="00436FFA">
      <w:pPr>
        <w:numPr>
          <w:ilvl w:val="0"/>
          <w:numId w:val="3"/>
        </w:numPr>
        <w:spacing w:after="0" w:line="259" w:lineRule="auto"/>
        <w:ind w:left="0" w:right="288"/>
        <w:rPr>
          <w:rFonts w:ascii="Cambria" w:eastAsia="SimSun" w:hAnsi="Cambria"/>
        </w:rPr>
      </w:pPr>
      <w:r w:rsidRPr="002B2DC2">
        <w:rPr>
          <w:rFonts w:ascii="Cambria" w:eastAsia="SimSun" w:hAnsi="Cambria"/>
          <w:b/>
          <w:bCs/>
        </w:rPr>
        <w:t>Scope</w:t>
      </w:r>
      <w:r w:rsidRPr="002B2DC2">
        <w:rPr>
          <w:rFonts w:ascii="Cambria" w:eastAsia="SimSun" w:hAnsi="Cambria"/>
        </w:rPr>
        <w:t xml:space="preserve">: </w:t>
      </w:r>
      <w:r w:rsidRPr="00C44AD9">
        <w:rPr>
          <w:rFonts w:ascii="Cambria" w:eastAsia="SimSun" w:hAnsi="Cambria"/>
        </w:rPr>
        <w:t>This policy applies to ARD, applicants, colleges admission committees,</w:t>
      </w:r>
      <w:r>
        <w:rPr>
          <w:rFonts w:ascii="Cambria" w:eastAsia="SimSun" w:hAnsi="Cambria"/>
        </w:rPr>
        <w:t xml:space="preserve"> </w:t>
      </w:r>
      <w:r w:rsidRPr="00C44AD9">
        <w:rPr>
          <w:rFonts w:ascii="Cambria" w:eastAsia="SimSun" w:hAnsi="Cambria"/>
        </w:rPr>
        <w:t>faculty, and programs.</w:t>
      </w:r>
    </w:p>
    <w:p w14:paraId="5A24185E" w14:textId="77777777" w:rsidR="00DA4540" w:rsidRPr="00DB6A03" w:rsidRDefault="00DA4540" w:rsidP="00DA4540">
      <w:pPr>
        <w:spacing w:line="259" w:lineRule="auto"/>
        <w:rPr>
          <w:rFonts w:ascii="Cambria" w:eastAsia="SimSun" w:hAnsi="Cambria"/>
        </w:rPr>
      </w:pPr>
    </w:p>
    <w:p w14:paraId="35C7BACC" w14:textId="77777777" w:rsidR="00DA4540" w:rsidRPr="00445534" w:rsidRDefault="00DA4540" w:rsidP="00DA4540">
      <w:pPr>
        <w:pStyle w:val="ListParagraph"/>
        <w:keepNext/>
        <w:numPr>
          <w:ilvl w:val="0"/>
          <w:numId w:val="6"/>
        </w:numPr>
        <w:spacing w:line="259" w:lineRule="auto"/>
        <w:ind w:left="0" w:firstLine="0"/>
        <w:contextualSpacing w:val="0"/>
        <w:rPr>
          <w:rFonts w:ascii="Cambria" w:hAnsi="Cambria"/>
          <w:b/>
          <w:bCs/>
        </w:rPr>
      </w:pPr>
      <w:r w:rsidRPr="00CA2894">
        <w:rPr>
          <w:rFonts w:ascii="Cambria" w:hAnsi="Cambria"/>
          <w:b/>
          <w:bCs/>
        </w:rPr>
        <w:t>ROLES AND RESPONSIBILITIES</w:t>
      </w:r>
    </w:p>
    <w:p w14:paraId="4A55E61F" w14:textId="77777777" w:rsidR="00DA4540" w:rsidRPr="00284FD9" w:rsidRDefault="00DA4540" w:rsidP="00DA4540">
      <w:pPr>
        <w:numPr>
          <w:ilvl w:val="0"/>
          <w:numId w:val="4"/>
        </w:numPr>
        <w:spacing w:line="259" w:lineRule="auto"/>
        <w:ind w:left="0"/>
        <w:rPr>
          <w:rFonts w:ascii="Cambria" w:eastAsia="SimSun" w:hAnsi="Cambria"/>
        </w:rPr>
      </w:pPr>
      <w:r w:rsidRPr="002B2DC2">
        <w:rPr>
          <w:rFonts w:ascii="Cambria" w:eastAsia="SimSun" w:hAnsi="Cambria"/>
          <w:b/>
          <w:bCs/>
        </w:rPr>
        <w:t>Responsible Executive</w:t>
      </w:r>
      <w:r w:rsidRPr="002B2DC2">
        <w:rPr>
          <w:rFonts w:ascii="Cambria" w:eastAsia="SimSun" w:hAnsi="Cambria"/>
        </w:rPr>
        <w:t xml:space="preserve">: </w:t>
      </w:r>
      <w:r>
        <w:rPr>
          <w:rFonts w:ascii="Cambria" w:eastAsia="SimSun" w:hAnsi="Cambria"/>
        </w:rPr>
        <w:t>Provost</w:t>
      </w:r>
    </w:p>
    <w:p w14:paraId="5C6A0E13" w14:textId="77777777" w:rsidR="00DA4540" w:rsidRPr="00284FD9" w:rsidRDefault="00DA4540" w:rsidP="00DA4540">
      <w:pPr>
        <w:numPr>
          <w:ilvl w:val="0"/>
          <w:numId w:val="4"/>
        </w:numPr>
        <w:spacing w:line="259" w:lineRule="auto"/>
        <w:ind w:left="0"/>
        <w:rPr>
          <w:rFonts w:ascii="Cambria" w:eastAsia="SimSun" w:hAnsi="Cambria"/>
        </w:rPr>
      </w:pPr>
      <w:r w:rsidRPr="002B2DC2">
        <w:rPr>
          <w:rFonts w:ascii="Cambria" w:eastAsia="SimSun" w:hAnsi="Cambria"/>
          <w:b/>
          <w:bCs/>
        </w:rPr>
        <w:t>Responsible Administrator</w:t>
      </w:r>
      <w:r w:rsidRPr="002B2DC2">
        <w:rPr>
          <w:rFonts w:ascii="Cambria" w:eastAsia="SimSun" w:hAnsi="Cambria"/>
        </w:rPr>
        <w:t xml:space="preserve">: </w:t>
      </w:r>
      <w:r>
        <w:rPr>
          <w:rFonts w:ascii="Cambria" w:eastAsia="SimSun" w:hAnsi="Cambria"/>
        </w:rPr>
        <w:t>Director of ARD</w:t>
      </w:r>
    </w:p>
    <w:p w14:paraId="6BAACE6F" w14:textId="77777777" w:rsidR="00DA4540" w:rsidRPr="00284FD9" w:rsidRDefault="00DA4540" w:rsidP="00DA4540">
      <w:pPr>
        <w:numPr>
          <w:ilvl w:val="0"/>
          <w:numId w:val="4"/>
        </w:numPr>
        <w:spacing w:line="259" w:lineRule="auto"/>
        <w:ind w:left="0"/>
        <w:rPr>
          <w:rFonts w:ascii="Cambria" w:eastAsia="SimSun" w:hAnsi="Cambria"/>
        </w:rPr>
      </w:pPr>
      <w:r w:rsidRPr="002B2DC2">
        <w:rPr>
          <w:rFonts w:ascii="Cambria" w:eastAsia="SimSun" w:hAnsi="Cambria"/>
          <w:b/>
          <w:bCs/>
        </w:rPr>
        <w:t>Responsible Office</w:t>
      </w:r>
      <w:r w:rsidRPr="002B2DC2">
        <w:rPr>
          <w:rFonts w:ascii="Cambria" w:eastAsia="SimSun" w:hAnsi="Cambria"/>
        </w:rPr>
        <w:t xml:space="preserve">: </w:t>
      </w:r>
      <w:r>
        <w:rPr>
          <w:rFonts w:ascii="Cambria" w:eastAsia="SimSun" w:hAnsi="Cambria"/>
        </w:rPr>
        <w:t>ARD</w:t>
      </w:r>
    </w:p>
    <w:p w14:paraId="2DC9DFE5" w14:textId="146D7465" w:rsidR="00DA4540" w:rsidRPr="00E378E1" w:rsidRDefault="00DA4540" w:rsidP="00E378E1">
      <w:pPr>
        <w:numPr>
          <w:ilvl w:val="0"/>
          <w:numId w:val="4"/>
        </w:numPr>
        <w:spacing w:line="259" w:lineRule="auto"/>
        <w:ind w:left="0"/>
        <w:rPr>
          <w:rFonts w:ascii="Cambria" w:eastAsia="SimSun" w:hAnsi="Cambria"/>
        </w:rPr>
      </w:pPr>
      <w:r w:rsidRPr="002B2DC2">
        <w:rPr>
          <w:rFonts w:ascii="Cambria" w:eastAsia="SimSun" w:hAnsi="Cambria"/>
          <w:b/>
          <w:bCs/>
        </w:rPr>
        <w:t>Policy Contact:</w:t>
      </w:r>
      <w:r>
        <w:rPr>
          <w:rFonts w:ascii="Cambria" w:eastAsia="SimSun" w:hAnsi="Cambria"/>
        </w:rPr>
        <w:t xml:space="preserve"> Director of ARD</w:t>
      </w:r>
    </w:p>
    <w:p w14:paraId="349F2677" w14:textId="77777777" w:rsidR="00DA4540" w:rsidRPr="0092280B" w:rsidRDefault="00DA4540" w:rsidP="00DA4540">
      <w:pPr>
        <w:pStyle w:val="ListParagraph"/>
        <w:numPr>
          <w:ilvl w:val="0"/>
          <w:numId w:val="6"/>
        </w:numPr>
        <w:spacing w:line="259" w:lineRule="auto"/>
        <w:ind w:left="0" w:firstLine="0"/>
        <w:contextualSpacing w:val="0"/>
        <w:rPr>
          <w:rFonts w:ascii="Cambria" w:hAnsi="Cambria"/>
          <w:b/>
        </w:rPr>
      </w:pPr>
      <w:r w:rsidRPr="002B2DC2">
        <w:rPr>
          <w:rFonts w:ascii="Cambria" w:hAnsi="Cambria"/>
          <w:b/>
        </w:rPr>
        <w:lastRenderedPageBreak/>
        <w:t>POLICY STATEMENT</w:t>
      </w:r>
    </w:p>
    <w:p w14:paraId="589367A4" w14:textId="77777777" w:rsidR="00DA4540" w:rsidRDefault="00DA4540" w:rsidP="00DA4540">
      <w:pPr>
        <w:ind w:right="720"/>
        <w:rPr>
          <w:rFonts w:ascii="Cambria" w:hAnsi="Cambria"/>
        </w:rPr>
      </w:pPr>
      <w:r w:rsidRPr="00736F52">
        <w:rPr>
          <w:rFonts w:ascii="Cambria" w:hAnsi="Cambria"/>
        </w:rPr>
        <w:t xml:space="preserve"> </w:t>
      </w:r>
      <w:r>
        <w:rPr>
          <w:rFonts w:ascii="Cambria" w:hAnsi="Cambria"/>
        </w:rPr>
        <w:t xml:space="preserve">As an American-style institution, </w:t>
      </w:r>
      <w:r w:rsidRPr="00736F52">
        <w:rPr>
          <w:rFonts w:ascii="Cambria" w:hAnsi="Cambria"/>
        </w:rPr>
        <w:t xml:space="preserve">AUK bases its admissions decisions upon the </w:t>
      </w:r>
      <w:r>
        <w:rPr>
          <w:rFonts w:ascii="Cambria" w:hAnsi="Cambria"/>
        </w:rPr>
        <w:t xml:space="preserve">merit of each and every </w:t>
      </w:r>
      <w:r w:rsidRPr="00736F52">
        <w:rPr>
          <w:rFonts w:ascii="Cambria" w:hAnsi="Cambria"/>
        </w:rPr>
        <w:t xml:space="preserve">applicant. The standards for admission depend upon the particular program being considered; the underlying principle for acceptance is </w:t>
      </w:r>
      <w:r>
        <w:rPr>
          <w:rFonts w:ascii="Cambria" w:hAnsi="Cambria"/>
        </w:rPr>
        <w:t xml:space="preserve">meeting the eligibility requirements and </w:t>
      </w:r>
      <w:r w:rsidRPr="00736F52">
        <w:rPr>
          <w:rFonts w:ascii="Cambria" w:hAnsi="Cambria"/>
        </w:rPr>
        <w:t xml:space="preserve">a demonstration of </w:t>
      </w:r>
      <w:r>
        <w:rPr>
          <w:rFonts w:ascii="Cambria" w:hAnsi="Cambria"/>
        </w:rPr>
        <w:t xml:space="preserve">the </w:t>
      </w:r>
      <w:r w:rsidRPr="00736F52">
        <w:rPr>
          <w:rFonts w:ascii="Cambria" w:hAnsi="Cambria"/>
        </w:rPr>
        <w:t>potential to successfully complete the program and graduate from AUK.  AUK admit</w:t>
      </w:r>
      <w:r>
        <w:rPr>
          <w:rFonts w:ascii="Cambria" w:hAnsi="Cambria"/>
        </w:rPr>
        <w:t>s</w:t>
      </w:r>
      <w:r w:rsidRPr="00736F52">
        <w:rPr>
          <w:rFonts w:ascii="Cambria" w:hAnsi="Cambria"/>
        </w:rPr>
        <w:t xml:space="preserve"> qualified individuals regardless of race, color, creed, age, marital status, gender, religion, sexual orientation, gender identity, gender expression, national origin, veteran status, or disability.</w:t>
      </w:r>
    </w:p>
    <w:p w14:paraId="29FBD233" w14:textId="77777777" w:rsidR="00DA4540" w:rsidRDefault="00DA4540" w:rsidP="00DA4540">
      <w:pPr>
        <w:rPr>
          <w:rFonts w:ascii="Cambria" w:hAnsi="Cambria"/>
        </w:rPr>
      </w:pPr>
    </w:p>
    <w:p w14:paraId="3CBBBD47" w14:textId="77777777" w:rsidR="00DA4540" w:rsidRPr="000655A9" w:rsidRDefault="00DA4540" w:rsidP="00DA4540">
      <w:pPr>
        <w:pStyle w:val="ListParagraph"/>
        <w:numPr>
          <w:ilvl w:val="0"/>
          <w:numId w:val="6"/>
        </w:numPr>
        <w:spacing w:line="259" w:lineRule="auto"/>
        <w:ind w:left="0"/>
        <w:rPr>
          <w:rFonts w:ascii="Cambria" w:hAnsi="Cambria"/>
          <w:b/>
        </w:rPr>
      </w:pPr>
      <w:r w:rsidRPr="000655A9">
        <w:rPr>
          <w:rFonts w:ascii="Cambria" w:hAnsi="Cambria"/>
          <w:b/>
          <w:bCs/>
          <w:caps/>
        </w:rPr>
        <w:t>General enrollment requirements</w:t>
      </w:r>
    </w:p>
    <w:p w14:paraId="095922F7" w14:textId="77777777" w:rsidR="00DA4540" w:rsidRPr="002C30A8" w:rsidRDefault="00DA4540" w:rsidP="00DA4540">
      <w:pPr>
        <w:pStyle w:val="ListParagraph"/>
        <w:ind w:left="0"/>
        <w:contextualSpacing w:val="0"/>
        <w:rPr>
          <w:rFonts w:ascii="Cambria" w:hAnsi="Cambria"/>
          <w:b/>
          <w:u w:val="single"/>
        </w:rPr>
      </w:pPr>
      <w:r w:rsidRPr="002C30A8">
        <w:rPr>
          <w:rFonts w:ascii="Cambria" w:hAnsi="Cambria"/>
          <w:b/>
          <w:u w:val="single"/>
        </w:rPr>
        <w:t>Admission Requirements</w:t>
      </w:r>
      <w:r>
        <w:rPr>
          <w:rFonts w:ascii="Cambria" w:hAnsi="Cambria"/>
          <w:b/>
          <w:u w:val="single"/>
        </w:rPr>
        <w:t xml:space="preserve"> for Entry to Master’s Programs</w:t>
      </w:r>
    </w:p>
    <w:p w14:paraId="3B9F0CDC" w14:textId="77777777" w:rsidR="00DA4540" w:rsidRPr="006E4826" w:rsidRDefault="00DA4540" w:rsidP="00DA4540">
      <w:pPr>
        <w:pStyle w:val="ListParagraph"/>
        <w:numPr>
          <w:ilvl w:val="0"/>
          <w:numId w:val="7"/>
        </w:numPr>
        <w:spacing w:line="259" w:lineRule="auto"/>
        <w:ind w:left="648"/>
        <w:rPr>
          <w:rFonts w:ascii="Cambria" w:hAnsi="Cambria"/>
        </w:rPr>
      </w:pPr>
      <w:r w:rsidRPr="006E4826">
        <w:rPr>
          <w:rFonts w:ascii="Cambria" w:hAnsi="Cambria"/>
        </w:rPr>
        <w:t xml:space="preserve">Certified copies of the bachelor's degree diploma, transcript, and certified high school grades. For students who have graduated from international institutions, a bachelor's degree equivalency is mandatory. </w:t>
      </w:r>
    </w:p>
    <w:p w14:paraId="5FBD376D" w14:textId="77777777" w:rsidR="00DA4540" w:rsidRPr="006E4826" w:rsidRDefault="00DA4540" w:rsidP="00DA4540">
      <w:pPr>
        <w:pStyle w:val="ListParagraph"/>
        <w:numPr>
          <w:ilvl w:val="0"/>
          <w:numId w:val="7"/>
        </w:numPr>
        <w:spacing w:line="259" w:lineRule="auto"/>
        <w:ind w:left="648"/>
        <w:rPr>
          <w:rFonts w:ascii="Cambria" w:hAnsi="Cambria"/>
        </w:rPr>
      </w:pPr>
      <w:r w:rsidRPr="006E4826">
        <w:rPr>
          <w:rFonts w:ascii="Cambria" w:hAnsi="Cambria"/>
        </w:rPr>
        <w:t xml:space="preserve">A minimum GPA of 2.50 out of 4.00 or 60% in the bachelor’s degree. </w:t>
      </w:r>
    </w:p>
    <w:p w14:paraId="790432D3" w14:textId="77777777" w:rsidR="00DA4540" w:rsidRPr="006E4826" w:rsidRDefault="00DA4540" w:rsidP="00DA4540">
      <w:pPr>
        <w:pStyle w:val="ListParagraph"/>
        <w:numPr>
          <w:ilvl w:val="0"/>
          <w:numId w:val="7"/>
        </w:numPr>
        <w:spacing w:line="259" w:lineRule="auto"/>
        <w:ind w:left="648"/>
        <w:rPr>
          <w:rFonts w:ascii="Cambria" w:hAnsi="Cambria"/>
        </w:rPr>
      </w:pPr>
      <w:r w:rsidRPr="006E4826">
        <w:rPr>
          <w:rFonts w:ascii="Cambria" w:hAnsi="Cambria"/>
        </w:rPr>
        <w:t>Proficiency in English language evidenced by a valid TOEFL or IELTS score or a bachelor’s degree from a university whose instruction is exclusively in English. The AUK requires a minimum TOEFL ITP score of 537+, TOEFL iBT score of 75+ or IELTS 6 (valid for two years).</w:t>
      </w:r>
    </w:p>
    <w:p w14:paraId="311ECDE0" w14:textId="77777777" w:rsidR="00DA4540" w:rsidRPr="006E4826" w:rsidRDefault="00DA4540" w:rsidP="00DA4540">
      <w:pPr>
        <w:pStyle w:val="ListParagraph"/>
        <w:numPr>
          <w:ilvl w:val="0"/>
          <w:numId w:val="7"/>
        </w:numPr>
        <w:spacing w:line="259" w:lineRule="auto"/>
        <w:ind w:left="648"/>
        <w:rPr>
          <w:rFonts w:ascii="Cambria" w:hAnsi="Cambria"/>
        </w:rPr>
      </w:pPr>
      <w:r w:rsidRPr="006E4826">
        <w:rPr>
          <w:rFonts w:ascii="Cambria" w:hAnsi="Cambria"/>
        </w:rPr>
        <w:t>Successful completion of an interview.</w:t>
      </w:r>
    </w:p>
    <w:p w14:paraId="05CCE2B8" w14:textId="77777777" w:rsidR="00DA4540" w:rsidRDefault="00DA4540" w:rsidP="00DA4540">
      <w:pPr>
        <w:pStyle w:val="ListParagraph"/>
        <w:numPr>
          <w:ilvl w:val="0"/>
          <w:numId w:val="7"/>
        </w:numPr>
        <w:spacing w:line="259" w:lineRule="auto"/>
        <w:ind w:left="648"/>
        <w:rPr>
          <w:rFonts w:ascii="Cambria" w:hAnsi="Cambria"/>
        </w:rPr>
      </w:pPr>
      <w:r w:rsidRPr="006E4826">
        <w:rPr>
          <w:rFonts w:ascii="Cambria" w:hAnsi="Cambria"/>
        </w:rPr>
        <w:t xml:space="preserve">Preferred: Relevant professional experience and evidence of research/ product development. </w:t>
      </w:r>
    </w:p>
    <w:p w14:paraId="2022663E" w14:textId="77777777" w:rsidR="00DA4540" w:rsidRDefault="00DA4540" w:rsidP="00DA4540">
      <w:pPr>
        <w:rPr>
          <w:rFonts w:ascii="Cambria" w:hAnsi="Cambria" w:cs="Arial"/>
          <w:b/>
          <w:bCs/>
          <w:color w:val="000000" w:themeColor="text1"/>
          <w:u w:val="single"/>
        </w:rPr>
      </w:pPr>
      <w:r w:rsidRPr="002C30A8">
        <w:rPr>
          <w:rFonts w:ascii="Cambria" w:hAnsi="Cambria"/>
          <w:b/>
          <w:u w:val="single"/>
        </w:rPr>
        <w:t xml:space="preserve">Program </w:t>
      </w:r>
      <w:r w:rsidRPr="002C30A8">
        <w:rPr>
          <w:rFonts w:ascii="Cambria" w:hAnsi="Cambria" w:cs="Arial"/>
          <w:b/>
          <w:bCs/>
          <w:color w:val="000000" w:themeColor="text1"/>
          <w:u w:val="single"/>
        </w:rPr>
        <w:t>Prerequisite</w:t>
      </w:r>
    </w:p>
    <w:p w14:paraId="62B9113E" w14:textId="77777777" w:rsidR="00DA4540" w:rsidRDefault="00DA4540" w:rsidP="00DA4540">
      <w:pPr>
        <w:ind w:right="576"/>
        <w:rPr>
          <w:rFonts w:ascii="Cambria" w:hAnsi="Cambria"/>
        </w:rPr>
      </w:pPr>
      <w:r w:rsidRPr="002C30A8">
        <w:rPr>
          <w:rFonts w:ascii="Cambria" w:hAnsi="Cambria"/>
        </w:rPr>
        <w:t>During the assessment of candidates for admission, the Department Chair and Dean will review the bachelor’s transcripts to ensure the expected competencies and disciplinary knowledge needed to begin the program’s coursework (prerequisites) are satisfied.  If from industry, candidates will be obliged to provide a letter of reference from their employer as proof of experience. Candidates may be required to take an assessment to evaluate their prior learning. If a candidate is determined to be deficient in any of the requisite skills/knowledge, then s/he will be required to complete specified AUK undergraduate courses to attain such skills/knowledge. These students will be accepted conditionally; a contract will specify the courses and minimum grade thresholds. Students not satisfying these conditions will not move onto the master’s courses.  Undergraduate courses taken under a conditional contract will not count toward the master’s degree requirements and credit count.</w:t>
      </w:r>
    </w:p>
    <w:p w14:paraId="70D7649E" w14:textId="77777777" w:rsidR="00DA4540" w:rsidRPr="00646C92" w:rsidRDefault="00DA4540" w:rsidP="00DA4540">
      <w:pPr>
        <w:rPr>
          <w:rFonts w:ascii="Cambria" w:hAnsi="Cambria"/>
        </w:rPr>
      </w:pPr>
    </w:p>
    <w:p w14:paraId="123BED39" w14:textId="77777777" w:rsidR="00DA4540" w:rsidRPr="000655A9" w:rsidRDefault="00DA4540" w:rsidP="00DA4540">
      <w:pPr>
        <w:rPr>
          <w:rFonts w:ascii="Cambria" w:hAnsi="Cambria"/>
          <w:b/>
        </w:rPr>
      </w:pPr>
      <w:r>
        <w:rPr>
          <w:rFonts w:ascii="Cambria" w:hAnsi="Cambria"/>
          <w:b/>
          <w:bCs/>
        </w:rPr>
        <w:lastRenderedPageBreak/>
        <w:t xml:space="preserve">V. </w:t>
      </w:r>
      <w:r w:rsidRPr="000655A9">
        <w:rPr>
          <w:rFonts w:ascii="Cambria" w:hAnsi="Cambria"/>
          <w:b/>
          <w:bCs/>
        </w:rPr>
        <w:t>TRANSFER CREDITS</w:t>
      </w:r>
    </w:p>
    <w:p w14:paraId="200865DF" w14:textId="77777777" w:rsidR="00DA4540" w:rsidRDefault="00DA4540" w:rsidP="00DA4540">
      <w:pPr>
        <w:pStyle w:val="ListParagraph"/>
        <w:ind w:left="0" w:right="432"/>
        <w:contextualSpacing w:val="0"/>
        <w:rPr>
          <w:rFonts w:ascii="Cambria" w:hAnsi="Cambria"/>
        </w:rPr>
      </w:pPr>
      <w:r w:rsidRPr="00736F52">
        <w:rPr>
          <w:rFonts w:ascii="Cambria" w:hAnsi="Cambria"/>
        </w:rPr>
        <w:t xml:space="preserve">Applicants may request a review of transfer credits at the time of application. A maximum of 6 credits, with a grade of “B” or higher, may be transferred from </w:t>
      </w:r>
      <w:r w:rsidRPr="00736F52">
        <w:rPr>
          <w:rFonts w:ascii="Cambria" w:hAnsi="Cambria"/>
          <w:bCs/>
        </w:rPr>
        <w:t>accredited/licensed</w:t>
      </w:r>
      <w:r w:rsidRPr="00736F52">
        <w:rPr>
          <w:rFonts w:ascii="Cambria" w:hAnsi="Cambria"/>
        </w:rPr>
        <w:t xml:space="preserve"> universities recognized by the Ministry of Higher Education &amp; Scientific Research of the KRI, and is subject to the approval of the Department Chair and Dean. Credits for graduation projects or thesis courses cannot be transferred. The content of the transferred courses must match at least 70% of the corresponding courses in the AUK master’s program. While grades from transferred courses do not impact the CGPA, the credits earned will count toward cumulative credits and graduation requirements.</w:t>
      </w:r>
    </w:p>
    <w:p w14:paraId="7D38DE65" w14:textId="77777777" w:rsidR="00DA4540" w:rsidRDefault="00DA4540" w:rsidP="00DA4540">
      <w:pPr>
        <w:pStyle w:val="ListParagraph"/>
        <w:ind w:left="0"/>
        <w:contextualSpacing w:val="0"/>
        <w:rPr>
          <w:rFonts w:ascii="Cambria" w:hAnsi="Cambria"/>
        </w:rPr>
      </w:pPr>
    </w:p>
    <w:p w14:paraId="09B8C65A" w14:textId="77777777" w:rsidR="00DA4540" w:rsidRPr="00031BE2" w:rsidRDefault="00DA4540" w:rsidP="00DA4540">
      <w:pPr>
        <w:pStyle w:val="ListParagraph"/>
        <w:ind w:left="0"/>
        <w:contextualSpacing w:val="0"/>
        <w:rPr>
          <w:rFonts w:ascii="Cambria" w:hAnsi="Cambria"/>
          <w:b/>
        </w:rPr>
      </w:pPr>
      <w:r w:rsidRPr="00031BE2">
        <w:rPr>
          <w:rFonts w:ascii="Cambria" w:hAnsi="Cambria"/>
          <w:b/>
        </w:rPr>
        <w:t>Credit Transfer Processing Procedures</w:t>
      </w:r>
    </w:p>
    <w:p w14:paraId="109E0F57" w14:textId="77777777" w:rsidR="00DA4540" w:rsidRDefault="00DA4540" w:rsidP="00DA4540">
      <w:pPr>
        <w:pStyle w:val="ListParagraph"/>
        <w:numPr>
          <w:ilvl w:val="0"/>
          <w:numId w:val="8"/>
        </w:numPr>
        <w:spacing w:line="259" w:lineRule="auto"/>
        <w:ind w:left="0" w:right="720"/>
        <w:contextualSpacing w:val="0"/>
        <w:rPr>
          <w:rFonts w:ascii="Cambria" w:hAnsi="Cambria"/>
        </w:rPr>
      </w:pPr>
      <w:r w:rsidRPr="00031BE2">
        <w:rPr>
          <w:rFonts w:ascii="Cambria" w:hAnsi="Cambria"/>
        </w:rPr>
        <w:t xml:space="preserve">The student provides the ARD with all of the following: 1) an official sealed transcript, 2) the official syllabi for courses to be considered for transfer, and 3) the official course descriptions for courses to be considered for transfer either printed from the university’s website or with the respective university seal stamped on it. </w:t>
      </w:r>
    </w:p>
    <w:p w14:paraId="1ABF2944" w14:textId="77777777" w:rsidR="00DA4540" w:rsidRDefault="00DA4540" w:rsidP="00DA4540">
      <w:pPr>
        <w:pStyle w:val="ListParagraph"/>
        <w:numPr>
          <w:ilvl w:val="0"/>
          <w:numId w:val="8"/>
        </w:numPr>
        <w:spacing w:line="259" w:lineRule="auto"/>
        <w:ind w:left="0" w:right="720"/>
        <w:contextualSpacing w:val="0"/>
        <w:rPr>
          <w:rFonts w:ascii="Cambria" w:hAnsi="Cambria"/>
        </w:rPr>
      </w:pPr>
      <w:r w:rsidRPr="00031BE2">
        <w:rPr>
          <w:rFonts w:ascii="Cambria" w:hAnsi="Cambria"/>
        </w:rPr>
        <w:t>The ARD makes copies of the credit transfer documents cited in #1 and forwards them to the appropriate academic departments along with the Credit Transfer Checklist Form (</w:t>
      </w:r>
      <w:r>
        <w:rPr>
          <w:rFonts w:ascii="Cambria" w:hAnsi="Cambria"/>
        </w:rPr>
        <w:t xml:space="preserve">See: </w:t>
      </w:r>
      <w:hyperlink r:id="rId6" w:history="1">
        <w:r w:rsidRPr="00FA4ECF">
          <w:rPr>
            <w:rStyle w:val="Hyperlink"/>
            <w:rFonts w:ascii="Cambria" w:hAnsi="Cambria"/>
          </w:rPr>
          <w:t>https://auk.edu.krd/wp-content/uploads/2024/01/Credit-Transfer-Checklist-Form.docx</w:t>
        </w:r>
      </w:hyperlink>
      <w:r w:rsidRPr="00031BE2">
        <w:rPr>
          <w:rFonts w:ascii="Cambria" w:hAnsi="Cambria"/>
        </w:rPr>
        <w:t>)</w:t>
      </w:r>
    </w:p>
    <w:p w14:paraId="329ED312" w14:textId="77777777" w:rsidR="00DA4540" w:rsidRDefault="00DA4540" w:rsidP="00DA4540">
      <w:pPr>
        <w:pStyle w:val="ListParagraph"/>
        <w:numPr>
          <w:ilvl w:val="0"/>
          <w:numId w:val="8"/>
        </w:numPr>
        <w:spacing w:line="259" w:lineRule="auto"/>
        <w:ind w:left="0" w:right="720"/>
        <w:contextualSpacing w:val="0"/>
        <w:rPr>
          <w:rFonts w:ascii="Cambria" w:hAnsi="Cambria"/>
        </w:rPr>
      </w:pPr>
      <w:r w:rsidRPr="00031BE2">
        <w:rPr>
          <w:rFonts w:ascii="Cambria" w:hAnsi="Cambria"/>
        </w:rPr>
        <w:t>The Course Equivalency Committee in each department evaluates the credit transfer request of each student, completes the Tentative Credit Transfer Form (</w:t>
      </w:r>
      <w:r>
        <w:rPr>
          <w:rFonts w:ascii="Cambria" w:hAnsi="Cambria"/>
        </w:rPr>
        <w:t xml:space="preserve">See: </w:t>
      </w:r>
      <w:hyperlink r:id="rId7" w:history="1">
        <w:r w:rsidRPr="00F57F80">
          <w:rPr>
            <w:rStyle w:val="Hyperlink"/>
            <w:rFonts w:ascii="Cambria" w:hAnsi="Cambria"/>
          </w:rPr>
          <w:t>https://auk.edu.krd/wp-content/uploads/2024/01/Tentative-Credit-Transfer-Form.docx</w:t>
        </w:r>
      </w:hyperlink>
      <w:r>
        <w:rPr>
          <w:rFonts w:ascii="Cambria" w:hAnsi="Cambria"/>
        </w:rPr>
        <w:t>),</w:t>
      </w:r>
      <w:r w:rsidRPr="00031BE2">
        <w:rPr>
          <w:rFonts w:ascii="Cambria" w:hAnsi="Cambria"/>
        </w:rPr>
        <w:t xml:space="preserve"> and forwards to the Department Chair.</w:t>
      </w:r>
    </w:p>
    <w:p w14:paraId="12142A51" w14:textId="77777777" w:rsidR="00DA4540" w:rsidRDefault="00DA4540" w:rsidP="00DA4540">
      <w:pPr>
        <w:pStyle w:val="ListParagraph"/>
        <w:numPr>
          <w:ilvl w:val="0"/>
          <w:numId w:val="8"/>
        </w:numPr>
        <w:spacing w:line="259" w:lineRule="auto"/>
        <w:ind w:left="0" w:right="720"/>
        <w:contextualSpacing w:val="0"/>
        <w:rPr>
          <w:rFonts w:ascii="Cambria" w:hAnsi="Cambria"/>
        </w:rPr>
      </w:pPr>
      <w:r w:rsidRPr="00031BE2">
        <w:rPr>
          <w:rFonts w:ascii="Cambria" w:hAnsi="Cambria"/>
        </w:rPr>
        <w:t xml:space="preserve">The Department Chair reviews and approves/signs the report, obtains the Dean’s signature, and forwards the documents back to the ARD. (To be finalized within a week from receiving the file from the ARD). </w:t>
      </w:r>
    </w:p>
    <w:p w14:paraId="2AA8118F" w14:textId="77777777" w:rsidR="00DA4540" w:rsidRDefault="00DA4540" w:rsidP="00DA4540">
      <w:pPr>
        <w:pStyle w:val="ListParagraph"/>
        <w:numPr>
          <w:ilvl w:val="0"/>
          <w:numId w:val="8"/>
        </w:numPr>
        <w:spacing w:line="259" w:lineRule="auto"/>
        <w:ind w:left="0" w:right="720"/>
        <w:contextualSpacing w:val="0"/>
        <w:rPr>
          <w:rFonts w:ascii="Cambria" w:hAnsi="Cambria"/>
        </w:rPr>
      </w:pPr>
      <w:r w:rsidRPr="00031BE2">
        <w:rPr>
          <w:rFonts w:ascii="Cambria" w:hAnsi="Cambria"/>
        </w:rPr>
        <w:t>The Admissions Office compiles all credit transfer recommendations from the departments into one report, Credit Transfer Final Report (</w:t>
      </w:r>
      <w:r>
        <w:rPr>
          <w:rFonts w:ascii="Cambria" w:hAnsi="Cambria"/>
        </w:rPr>
        <w:t xml:space="preserve">See: </w:t>
      </w:r>
      <w:hyperlink r:id="rId8" w:history="1">
        <w:r w:rsidRPr="00F57F80">
          <w:rPr>
            <w:rStyle w:val="Hyperlink"/>
            <w:rFonts w:ascii="Cambria" w:hAnsi="Cambria"/>
          </w:rPr>
          <w:t>https://auk.edu.krd/wp-content/uploads/2024/01/Credit-Transfer-Final-Report.docx</w:t>
        </w:r>
      </w:hyperlink>
      <w:r>
        <w:rPr>
          <w:rFonts w:ascii="Cambria" w:hAnsi="Cambria"/>
        </w:rPr>
        <w:t xml:space="preserve">) </w:t>
      </w:r>
      <w:r w:rsidRPr="00031BE2">
        <w:rPr>
          <w:rFonts w:ascii="Cambria" w:hAnsi="Cambria"/>
        </w:rPr>
        <w:t xml:space="preserve"> and sends to the Provost. </w:t>
      </w:r>
    </w:p>
    <w:p w14:paraId="0CB67444" w14:textId="77777777" w:rsidR="00DA4540" w:rsidRPr="00DB6A03" w:rsidRDefault="00DA4540" w:rsidP="00DA4540">
      <w:pPr>
        <w:pStyle w:val="ListParagraph"/>
        <w:numPr>
          <w:ilvl w:val="0"/>
          <w:numId w:val="8"/>
        </w:numPr>
        <w:spacing w:line="259" w:lineRule="auto"/>
        <w:ind w:left="0" w:right="720"/>
        <w:contextualSpacing w:val="0"/>
        <w:rPr>
          <w:rFonts w:ascii="Cambria" w:hAnsi="Cambria"/>
        </w:rPr>
      </w:pPr>
      <w:r w:rsidRPr="00031BE2">
        <w:rPr>
          <w:rFonts w:ascii="Cambria" w:hAnsi="Cambria"/>
        </w:rPr>
        <w:t xml:space="preserve">The Provost approves or rejects the recommendations and forwards the file back to the ARD for processing. </w:t>
      </w:r>
    </w:p>
    <w:p w14:paraId="4E971BF6" w14:textId="77777777" w:rsidR="00DA4540" w:rsidRDefault="00DA4540" w:rsidP="00DA4540">
      <w:pPr>
        <w:pStyle w:val="ListParagraph"/>
        <w:numPr>
          <w:ilvl w:val="0"/>
          <w:numId w:val="8"/>
        </w:numPr>
        <w:spacing w:line="259" w:lineRule="auto"/>
        <w:ind w:left="0"/>
        <w:contextualSpacing w:val="0"/>
        <w:rPr>
          <w:rFonts w:ascii="Cambria" w:hAnsi="Cambria"/>
        </w:rPr>
      </w:pPr>
      <w:r w:rsidRPr="00031BE2">
        <w:rPr>
          <w:rFonts w:ascii="Cambria" w:hAnsi="Cambria"/>
        </w:rPr>
        <w:t xml:space="preserve">The ARD informs the student(s) of the decision(s) on transferable credits officially by email and proceeds with the processing. </w:t>
      </w:r>
    </w:p>
    <w:p w14:paraId="16187C3E" w14:textId="77777777" w:rsidR="00DA4540" w:rsidRDefault="00DA4540" w:rsidP="00DA4540">
      <w:pPr>
        <w:pStyle w:val="ListParagraph"/>
        <w:numPr>
          <w:ilvl w:val="0"/>
          <w:numId w:val="8"/>
        </w:numPr>
        <w:spacing w:line="259" w:lineRule="auto"/>
        <w:ind w:left="0"/>
        <w:contextualSpacing w:val="0"/>
        <w:rPr>
          <w:rFonts w:ascii="Cambria" w:hAnsi="Cambria"/>
        </w:rPr>
      </w:pPr>
      <w:r w:rsidRPr="00031BE2">
        <w:rPr>
          <w:rFonts w:ascii="Cambria" w:hAnsi="Cambria"/>
        </w:rPr>
        <w:lastRenderedPageBreak/>
        <w:t>The ARD enters the transferred credits in the Student Informati</w:t>
      </w:r>
      <w:r>
        <w:rPr>
          <w:rFonts w:ascii="Cambria" w:hAnsi="Cambria"/>
        </w:rPr>
        <w:t xml:space="preserve">on System and sends the documents to the Record Room for keeping in the student file. </w:t>
      </w:r>
    </w:p>
    <w:p w14:paraId="44632220" w14:textId="77777777" w:rsidR="00DA4540" w:rsidRPr="00FB248C" w:rsidRDefault="00DA4540" w:rsidP="00DA4540">
      <w:pPr>
        <w:pStyle w:val="ListParagraph"/>
        <w:ind w:left="0"/>
        <w:contextualSpacing w:val="0"/>
        <w:rPr>
          <w:rFonts w:ascii="Cambria" w:hAnsi="Cambria"/>
        </w:rPr>
      </w:pPr>
    </w:p>
    <w:p w14:paraId="2A210A08" w14:textId="77777777" w:rsidR="00DA4540" w:rsidRPr="00FB248C" w:rsidRDefault="00DA4540" w:rsidP="00DA4540">
      <w:pPr>
        <w:pStyle w:val="ListParagraph"/>
        <w:numPr>
          <w:ilvl w:val="1"/>
          <w:numId w:val="5"/>
        </w:numPr>
        <w:spacing w:line="259" w:lineRule="auto"/>
        <w:ind w:left="0"/>
        <w:rPr>
          <w:rFonts w:ascii="Cambria" w:hAnsi="Cambria"/>
          <w:b/>
        </w:rPr>
      </w:pPr>
      <w:r w:rsidRPr="00FB248C">
        <w:rPr>
          <w:rFonts w:ascii="Cambria" w:hAnsi="Cambria"/>
          <w:b/>
        </w:rPr>
        <w:t>POLICY HISTORY</w:t>
      </w:r>
    </w:p>
    <w:p w14:paraId="508A97AB" w14:textId="60AD9FA0" w:rsidR="00DA4540" w:rsidRPr="00284FD9" w:rsidRDefault="00DA4540" w:rsidP="00DA4540">
      <w:pPr>
        <w:numPr>
          <w:ilvl w:val="0"/>
          <w:numId w:val="5"/>
        </w:numPr>
        <w:spacing w:line="259" w:lineRule="auto"/>
        <w:ind w:left="0"/>
        <w:rPr>
          <w:rFonts w:ascii="Cambria" w:eastAsia="SimSun" w:hAnsi="Cambria"/>
        </w:rPr>
      </w:pPr>
      <w:r w:rsidRPr="002B2DC2">
        <w:rPr>
          <w:rFonts w:ascii="Cambria" w:eastAsia="SimSun" w:hAnsi="Cambria"/>
          <w:b/>
          <w:bCs/>
        </w:rPr>
        <w:t>Approved by</w:t>
      </w:r>
      <w:r w:rsidRPr="002B2DC2">
        <w:rPr>
          <w:rFonts w:ascii="Cambria" w:eastAsia="SimSun" w:hAnsi="Cambria"/>
        </w:rPr>
        <w:t xml:space="preserve">: </w:t>
      </w:r>
      <w:r>
        <w:rPr>
          <w:rFonts w:ascii="Cambria" w:eastAsia="SimSun" w:hAnsi="Cambria"/>
        </w:rPr>
        <w:t>Board of Trustees</w:t>
      </w:r>
    </w:p>
    <w:p w14:paraId="6FE94EE3" w14:textId="014A11EF" w:rsidR="00DA4540" w:rsidRPr="002D5132" w:rsidRDefault="00DA4540" w:rsidP="00DA4540">
      <w:pPr>
        <w:numPr>
          <w:ilvl w:val="0"/>
          <w:numId w:val="5"/>
        </w:numPr>
        <w:spacing w:line="259" w:lineRule="auto"/>
        <w:ind w:left="0"/>
        <w:rPr>
          <w:rFonts w:ascii="Cambria" w:eastAsia="SimSun" w:hAnsi="Cambria"/>
        </w:rPr>
      </w:pPr>
      <w:r w:rsidRPr="002B2DC2">
        <w:rPr>
          <w:rFonts w:ascii="Cambria" w:eastAsia="SimSun" w:hAnsi="Cambria"/>
          <w:b/>
          <w:bCs/>
        </w:rPr>
        <w:t>Adopted</w:t>
      </w:r>
      <w:r w:rsidRPr="002B2DC2">
        <w:rPr>
          <w:rFonts w:ascii="Cambria" w:eastAsia="SimSun" w:hAnsi="Cambria"/>
        </w:rPr>
        <w:t>:</w:t>
      </w:r>
      <w:r>
        <w:rPr>
          <w:rFonts w:ascii="Cambria" w:eastAsia="SimSun" w:hAnsi="Cambria"/>
        </w:rPr>
        <w:t xml:space="preserve"> December 3, 2024</w:t>
      </w:r>
    </w:p>
    <w:p w14:paraId="64845D83" w14:textId="77777777" w:rsidR="00DA4540" w:rsidRDefault="00DA4540" w:rsidP="00DA4540">
      <w:pPr>
        <w:ind w:left="720" w:right="864"/>
      </w:pPr>
    </w:p>
    <w:p w14:paraId="45045EF4" w14:textId="77777777" w:rsidR="00DA4540" w:rsidRDefault="00DA4540" w:rsidP="00DA4540">
      <w:pPr>
        <w:ind w:right="274"/>
        <w:rPr>
          <w:rFonts w:ascii="Cambria" w:eastAsia="SimSun" w:hAnsi="Cambria"/>
        </w:rPr>
      </w:pPr>
    </w:p>
    <w:p w14:paraId="53BB93DA" w14:textId="77777777" w:rsidR="00DA4540" w:rsidRDefault="00DA4540" w:rsidP="00DA4540">
      <w:pPr>
        <w:ind w:right="274"/>
        <w:rPr>
          <w:rFonts w:ascii="Cambria" w:eastAsia="SimSun" w:hAnsi="Cambria"/>
        </w:rPr>
      </w:pPr>
    </w:p>
    <w:p w14:paraId="5E23EA89" w14:textId="77777777" w:rsidR="00DA4540" w:rsidRDefault="00DA4540" w:rsidP="00DA4540">
      <w:pPr>
        <w:ind w:right="274"/>
        <w:rPr>
          <w:rFonts w:ascii="Cambria" w:eastAsia="SimSun" w:hAnsi="Cambria"/>
        </w:rPr>
      </w:pPr>
    </w:p>
    <w:p w14:paraId="22E96988" w14:textId="77777777" w:rsidR="00DA4540" w:rsidRDefault="00DA4540" w:rsidP="00DA4540">
      <w:pPr>
        <w:ind w:right="274"/>
        <w:rPr>
          <w:rFonts w:ascii="Cambria" w:eastAsia="SimSun" w:hAnsi="Cambria"/>
        </w:rPr>
      </w:pPr>
    </w:p>
    <w:p w14:paraId="6F823F20" w14:textId="77777777" w:rsidR="00DA4540" w:rsidRDefault="00DA4540" w:rsidP="00DA4540">
      <w:pPr>
        <w:ind w:right="274"/>
        <w:rPr>
          <w:rFonts w:ascii="Cambria" w:eastAsia="SimSun" w:hAnsi="Cambria"/>
        </w:rPr>
      </w:pPr>
    </w:p>
    <w:p w14:paraId="72BC9BB8" w14:textId="77777777" w:rsidR="00DA4540" w:rsidRDefault="00DA4540" w:rsidP="00DA4540">
      <w:pPr>
        <w:ind w:right="274"/>
        <w:rPr>
          <w:rFonts w:ascii="Cambria" w:eastAsia="SimSun" w:hAnsi="Cambria"/>
        </w:rPr>
      </w:pPr>
    </w:p>
    <w:p w14:paraId="48AECDAA" w14:textId="77777777" w:rsidR="00DA4540" w:rsidRDefault="00DA4540" w:rsidP="00DA4540">
      <w:pPr>
        <w:ind w:right="274"/>
        <w:rPr>
          <w:rFonts w:ascii="Cambria" w:eastAsia="SimSun" w:hAnsi="Cambria"/>
        </w:rPr>
      </w:pPr>
    </w:p>
    <w:p w14:paraId="7514DB48" w14:textId="77777777" w:rsidR="00DA4540" w:rsidRDefault="00DA4540" w:rsidP="00DA4540">
      <w:pPr>
        <w:ind w:right="274"/>
        <w:rPr>
          <w:rFonts w:ascii="Cambria" w:eastAsia="SimSun" w:hAnsi="Cambria"/>
        </w:rPr>
      </w:pPr>
    </w:p>
    <w:p w14:paraId="3C2D41E8" w14:textId="77777777" w:rsidR="00DA4540" w:rsidRDefault="00DA4540" w:rsidP="00DA4540">
      <w:pPr>
        <w:ind w:right="274"/>
        <w:rPr>
          <w:rFonts w:ascii="Cambria" w:eastAsia="SimSun" w:hAnsi="Cambria"/>
        </w:rPr>
      </w:pPr>
    </w:p>
    <w:p w14:paraId="2F4638B9" w14:textId="77777777" w:rsidR="00DA4540" w:rsidRDefault="00DA4540" w:rsidP="00DA4540">
      <w:pPr>
        <w:ind w:right="274"/>
        <w:rPr>
          <w:rFonts w:ascii="Cambria" w:eastAsia="SimSun" w:hAnsi="Cambria"/>
        </w:rPr>
      </w:pPr>
    </w:p>
    <w:p w14:paraId="33FAEA13" w14:textId="77777777" w:rsidR="00DA4540" w:rsidRDefault="00DA4540" w:rsidP="00DA4540">
      <w:pPr>
        <w:ind w:right="274"/>
        <w:rPr>
          <w:rFonts w:ascii="Cambria" w:eastAsia="SimSun" w:hAnsi="Cambria"/>
        </w:rPr>
      </w:pPr>
    </w:p>
    <w:p w14:paraId="3BF29EB7" w14:textId="77777777" w:rsidR="00DA4540" w:rsidRDefault="00DA4540" w:rsidP="00DA4540">
      <w:pPr>
        <w:ind w:right="274"/>
        <w:rPr>
          <w:rFonts w:ascii="Cambria" w:eastAsia="SimSun" w:hAnsi="Cambria"/>
        </w:rPr>
      </w:pPr>
    </w:p>
    <w:p w14:paraId="65BF94B7" w14:textId="77777777" w:rsidR="00DA4540" w:rsidRDefault="00DA4540" w:rsidP="00DA4540">
      <w:pPr>
        <w:ind w:right="274"/>
        <w:rPr>
          <w:rFonts w:ascii="Cambria" w:eastAsia="SimSun" w:hAnsi="Cambria"/>
        </w:rPr>
      </w:pPr>
    </w:p>
    <w:p w14:paraId="73834C1D" w14:textId="6D4EE13F" w:rsidR="00DA4540" w:rsidRPr="002D5132" w:rsidRDefault="00DA4540" w:rsidP="00DA4540">
      <w:pPr>
        <w:rPr>
          <w:rFonts w:ascii="Cambria" w:eastAsia="SimSun" w:hAnsi="Cambria"/>
        </w:rPr>
      </w:pPr>
    </w:p>
    <w:p w14:paraId="0DBA5622" w14:textId="77777777" w:rsidR="00444046" w:rsidRDefault="00444046"/>
    <w:sectPr w:rsidR="00444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505A"/>
    <w:multiLevelType w:val="multilevel"/>
    <w:tmpl w:val="C0B203BE"/>
    <w:lvl w:ilvl="0">
      <w:start w:val="1"/>
      <w:numFmt w:val="lowerLetter"/>
      <w:lvlText w:val="%1."/>
      <w:lvlJc w:val="left"/>
      <w:pPr>
        <w:tabs>
          <w:tab w:val="num" w:pos="720"/>
        </w:tabs>
        <w:ind w:left="720" w:hanging="360"/>
      </w:pPr>
      <w:rPr>
        <w:rFonts w:ascii="Cambria" w:eastAsiaTheme="minorHAnsi" w:hAnsi="Cambria" w:cstheme="minorBidi"/>
        <w:strike w:val="0"/>
        <w:sz w:val="20"/>
      </w:rPr>
    </w:lvl>
    <w:lvl w:ilvl="1">
      <w:start w:val="6"/>
      <w:numFmt w:val="upperRoman"/>
      <w:lvlText w:val="%2."/>
      <w:lvlJc w:val="left"/>
      <w:pPr>
        <w:ind w:left="1800" w:hanging="72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46C94"/>
    <w:multiLevelType w:val="hybridMultilevel"/>
    <w:tmpl w:val="7FBCF0C4"/>
    <w:lvl w:ilvl="0" w:tplc="457C263A">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93B94"/>
    <w:multiLevelType w:val="hybridMultilevel"/>
    <w:tmpl w:val="96A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E69AD"/>
    <w:multiLevelType w:val="hybridMultilevel"/>
    <w:tmpl w:val="AE36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E77"/>
    <w:multiLevelType w:val="hybridMultilevel"/>
    <w:tmpl w:val="37B8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C0E3F"/>
    <w:multiLevelType w:val="hybridMultilevel"/>
    <w:tmpl w:val="9F40E820"/>
    <w:lvl w:ilvl="0" w:tplc="0C000001">
      <w:start w:val="1"/>
      <w:numFmt w:val="bullet"/>
      <w:lvlText w:val=""/>
      <w:lvlJc w:val="left"/>
      <w:pPr>
        <w:ind w:left="1368" w:hanging="360"/>
      </w:pPr>
      <w:rPr>
        <w:rFonts w:ascii="Symbol" w:hAnsi="Symbol"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6" w15:restartNumberingAfterBreak="0">
    <w:nsid w:val="3E7667C7"/>
    <w:multiLevelType w:val="hybridMultilevel"/>
    <w:tmpl w:val="FC48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65D2D"/>
    <w:multiLevelType w:val="hybridMultilevel"/>
    <w:tmpl w:val="35381DE2"/>
    <w:lvl w:ilvl="0" w:tplc="04090013">
      <w:start w:val="1"/>
      <w:numFmt w:val="upperRoman"/>
      <w:lvlText w:val="%1."/>
      <w:lvlJc w:val="righ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4FF7FA2"/>
    <w:multiLevelType w:val="hybridMultilevel"/>
    <w:tmpl w:val="615A3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4066F"/>
    <w:multiLevelType w:val="hybridMultilevel"/>
    <w:tmpl w:val="E2BE4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876A6"/>
    <w:multiLevelType w:val="hybridMultilevel"/>
    <w:tmpl w:val="0960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F49D0"/>
    <w:multiLevelType w:val="hybridMultilevel"/>
    <w:tmpl w:val="CA6891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FAD1376"/>
    <w:multiLevelType w:val="hybridMultilevel"/>
    <w:tmpl w:val="CEE4A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F69A8"/>
    <w:multiLevelType w:val="hybridMultilevel"/>
    <w:tmpl w:val="7FBCF0C4"/>
    <w:lvl w:ilvl="0" w:tplc="457C263A">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85895"/>
    <w:multiLevelType w:val="hybridMultilevel"/>
    <w:tmpl w:val="35381DE2"/>
    <w:lvl w:ilvl="0" w:tplc="04090013">
      <w:start w:val="1"/>
      <w:numFmt w:val="upperRoman"/>
      <w:lvlText w:val="%1."/>
      <w:lvlJc w:val="righ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4"/>
  </w:num>
  <w:num w:numId="3">
    <w:abstractNumId w:val="9"/>
  </w:num>
  <w:num w:numId="4">
    <w:abstractNumId w:val="8"/>
  </w:num>
  <w:num w:numId="5">
    <w:abstractNumId w:val="0"/>
  </w:num>
  <w:num w:numId="6">
    <w:abstractNumId w:val="13"/>
  </w:num>
  <w:num w:numId="7">
    <w:abstractNumId w:val="2"/>
  </w:num>
  <w:num w:numId="8">
    <w:abstractNumId w:val="5"/>
  </w:num>
  <w:num w:numId="9">
    <w:abstractNumId w:val="12"/>
  </w:num>
  <w:num w:numId="10">
    <w:abstractNumId w:val="10"/>
  </w:num>
  <w:num w:numId="11">
    <w:abstractNumId w:val="6"/>
  </w:num>
  <w:num w:numId="12">
    <w:abstractNumId w:val="4"/>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D0"/>
    <w:rsid w:val="00436FFA"/>
    <w:rsid w:val="00444046"/>
    <w:rsid w:val="008616D0"/>
    <w:rsid w:val="00936B51"/>
    <w:rsid w:val="00DA4540"/>
    <w:rsid w:val="00E3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2016"/>
  <w15:chartTrackingRefBased/>
  <w15:docId w15:val="{D6C44BAE-4309-4D60-B7F0-F2ED3494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540"/>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L"/>
    <w:basedOn w:val="Normal"/>
    <w:link w:val="ListParagraphChar"/>
    <w:uiPriority w:val="1"/>
    <w:qFormat/>
    <w:rsid w:val="00DA4540"/>
    <w:pPr>
      <w:ind w:left="720"/>
      <w:contextualSpacing/>
    </w:pPr>
  </w:style>
  <w:style w:type="paragraph" w:styleId="NoSpacing">
    <w:name w:val="No Spacing"/>
    <w:uiPriority w:val="1"/>
    <w:qFormat/>
    <w:rsid w:val="00DA4540"/>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DA4540"/>
    <w:rPr>
      <w:color w:val="0563C1" w:themeColor="hyperlink"/>
      <w:u w:val="single"/>
    </w:rPr>
  </w:style>
  <w:style w:type="character" w:styleId="Strong">
    <w:name w:val="Strong"/>
    <w:basedOn w:val="DefaultParagraphFont"/>
    <w:uiPriority w:val="22"/>
    <w:qFormat/>
    <w:rsid w:val="00DA4540"/>
    <w:rPr>
      <w:b/>
      <w:bC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L Char"/>
    <w:link w:val="ListParagraph"/>
    <w:uiPriority w:val="1"/>
    <w:qFormat/>
    <w:locked/>
    <w:rsid w:val="00DA454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k.edu.krd/wp-content/uploads/2024/01/Credit-Transfer-Final-Report.docx" TargetMode="External"/><Relationship Id="rId3" Type="http://schemas.openxmlformats.org/officeDocument/2006/relationships/settings" Target="settings.xml"/><Relationship Id="rId7" Type="http://schemas.openxmlformats.org/officeDocument/2006/relationships/hyperlink" Target="https://auk.edu.krd/wp-content/uploads/2024/01/Tentative-Credit-Transfer-For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k.edu.krd/wp-content/uploads/2024/01/Credit-Transfer-Checklist-Form.doc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Salah</dc:creator>
  <cp:keywords/>
  <dc:description/>
  <cp:lastModifiedBy>Zana Salah</cp:lastModifiedBy>
  <cp:revision>5</cp:revision>
  <dcterms:created xsi:type="dcterms:W3CDTF">2025-11-25T09:05:00Z</dcterms:created>
  <dcterms:modified xsi:type="dcterms:W3CDTF">2025-11-25T09:08:00Z</dcterms:modified>
</cp:coreProperties>
</file>